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E608" w14:textId="77777777" w:rsidR="00C95C73" w:rsidRPr="00843E41" w:rsidRDefault="00C95C73" w:rsidP="00843E41">
      <w:pPr>
        <w:pStyle w:val="Heading1"/>
        <w:rPr>
          <w:rFonts w:ascii="Arial" w:hAnsi="Arial" w:cs="Arial"/>
          <w:b/>
          <w:bCs/>
          <w:lang w:val="en-US"/>
        </w:rPr>
      </w:pPr>
      <w:r w:rsidRPr="00843E41">
        <w:rPr>
          <w:rFonts w:ascii="Arial" w:hAnsi="Arial" w:cs="Arial"/>
          <w:b/>
          <w:bCs/>
          <w:lang w:val="en-US"/>
        </w:rPr>
        <w:t xml:space="preserve">Drug related deaths – advice on improving toxicology, especially </w:t>
      </w:r>
      <w:proofErr w:type="spellStart"/>
      <w:r w:rsidRPr="00843E41">
        <w:rPr>
          <w:rFonts w:ascii="Arial" w:hAnsi="Arial" w:cs="Arial"/>
          <w:b/>
          <w:bCs/>
          <w:lang w:val="en-US"/>
        </w:rPr>
        <w:t>nitazenes</w:t>
      </w:r>
      <w:proofErr w:type="spellEnd"/>
    </w:p>
    <w:p w14:paraId="4A22E609" w14:textId="77777777" w:rsidR="00C95C73" w:rsidRPr="00843E41" w:rsidRDefault="00C95C73">
      <w:pPr>
        <w:rPr>
          <w:rFonts w:ascii="Arial" w:hAnsi="Arial" w:cs="Arial"/>
          <w:lang w:val="en-US"/>
        </w:rPr>
      </w:pPr>
    </w:p>
    <w:p w14:paraId="4A22E60A" w14:textId="77777777" w:rsidR="00C95C73" w:rsidRPr="00843E41" w:rsidRDefault="00C95C73">
      <w:pPr>
        <w:rPr>
          <w:rFonts w:ascii="Arial" w:hAnsi="Arial" w:cs="Arial"/>
          <w:lang w:val="en-US"/>
        </w:rPr>
      </w:pPr>
      <w:r w:rsidRPr="00843E41">
        <w:rPr>
          <w:rFonts w:ascii="Arial" w:hAnsi="Arial" w:cs="Arial"/>
          <w:lang w:val="en-US"/>
        </w:rPr>
        <w:t>FAO: Autopsy pathologists and forensic pathologists</w:t>
      </w:r>
    </w:p>
    <w:p w14:paraId="4A22E60B" w14:textId="77777777" w:rsidR="00C95C73" w:rsidRPr="00843E41" w:rsidRDefault="00C95C73">
      <w:pPr>
        <w:rPr>
          <w:rFonts w:ascii="Arial" w:hAnsi="Arial" w:cs="Arial"/>
          <w:lang w:val="en-US"/>
        </w:rPr>
      </w:pPr>
    </w:p>
    <w:p w14:paraId="4A22E60C" w14:textId="77777777" w:rsidR="00C95C73" w:rsidRPr="00843E41" w:rsidRDefault="00C95C73">
      <w:pPr>
        <w:rPr>
          <w:rFonts w:ascii="Arial" w:hAnsi="Arial" w:cs="Arial"/>
          <w:lang w:val="en-US"/>
        </w:rPr>
      </w:pPr>
      <w:r w:rsidRPr="00843E41">
        <w:rPr>
          <w:rFonts w:ascii="Arial" w:hAnsi="Arial" w:cs="Arial"/>
          <w:lang w:val="en-US"/>
        </w:rPr>
        <w:t>This update should be seen as compl</w:t>
      </w:r>
      <w:r w:rsidR="00E943CB" w:rsidRPr="00843E41">
        <w:rPr>
          <w:rFonts w:ascii="Arial" w:hAnsi="Arial" w:cs="Arial"/>
          <w:lang w:val="en-US"/>
        </w:rPr>
        <w:t>e</w:t>
      </w:r>
      <w:r w:rsidRPr="00843E41">
        <w:rPr>
          <w:rFonts w:ascii="Arial" w:hAnsi="Arial" w:cs="Arial"/>
          <w:lang w:val="en-US"/>
        </w:rPr>
        <w:t xml:space="preserve">mentary to the </w:t>
      </w:r>
      <w:hyperlink r:id="rId5" w:history="1">
        <w:r w:rsidRPr="00843E41">
          <w:rPr>
            <w:rStyle w:val="Hyperlink"/>
            <w:rFonts w:ascii="Arial" w:hAnsi="Arial" w:cs="Arial"/>
            <w:lang w:val="en-US"/>
          </w:rPr>
          <w:t>RCPath autopsy guidelines on Autopsy when drugs or poisoning may be involved, September 2024</w:t>
        </w:r>
      </w:hyperlink>
      <w:r w:rsidRPr="00843E41">
        <w:rPr>
          <w:rFonts w:ascii="Arial" w:hAnsi="Arial" w:cs="Arial"/>
          <w:lang w:val="en-US"/>
        </w:rPr>
        <w:t>. It includes advice for pathologist</w:t>
      </w:r>
      <w:r w:rsidR="00DF49CF" w:rsidRPr="00843E41">
        <w:rPr>
          <w:rFonts w:ascii="Arial" w:hAnsi="Arial" w:cs="Arial"/>
          <w:lang w:val="en-US"/>
        </w:rPr>
        <w:t>s</w:t>
      </w:r>
      <w:r w:rsidRPr="00843E41">
        <w:rPr>
          <w:rFonts w:ascii="Arial" w:hAnsi="Arial" w:cs="Arial"/>
          <w:lang w:val="en-US"/>
        </w:rPr>
        <w:t xml:space="preserve"> on autopsy toxicology sampling to improve detection rates of new drugs. </w:t>
      </w:r>
    </w:p>
    <w:p w14:paraId="4A22E60D" w14:textId="77777777" w:rsidR="00C95C73" w:rsidRPr="00843E41" w:rsidRDefault="00E943CB">
      <w:pPr>
        <w:rPr>
          <w:rFonts w:ascii="Arial" w:hAnsi="Arial" w:cs="Arial"/>
          <w:lang w:val="en-US"/>
        </w:rPr>
      </w:pPr>
      <w:r w:rsidRPr="00843E41">
        <w:rPr>
          <w:rFonts w:ascii="Arial" w:hAnsi="Arial" w:cs="Arial"/>
          <w:lang w:val="en-US"/>
        </w:rPr>
        <w:t>Representatives</w:t>
      </w:r>
      <w:r w:rsidR="00C95C73" w:rsidRPr="00843E41">
        <w:rPr>
          <w:rFonts w:ascii="Arial" w:hAnsi="Arial" w:cs="Arial"/>
          <w:lang w:val="en-US"/>
        </w:rPr>
        <w:t xml:space="preserve"> of the RCPath</w:t>
      </w:r>
      <w:r w:rsidRPr="00843E41">
        <w:rPr>
          <w:rFonts w:ascii="Arial" w:hAnsi="Arial" w:cs="Arial"/>
          <w:lang w:val="en-US"/>
        </w:rPr>
        <w:t xml:space="preserve"> Death Investigation Committee</w:t>
      </w:r>
      <w:r w:rsidR="00C95C73" w:rsidRPr="00843E41">
        <w:rPr>
          <w:rFonts w:ascii="Arial" w:hAnsi="Arial" w:cs="Arial"/>
          <w:lang w:val="en-US"/>
        </w:rPr>
        <w:t xml:space="preserve"> recently met with colleagues from the Office for Health Improvement and Disparities (OHID) who are conducting a project to collect information on toxicology testing to better inform national surveillance of drug trends, particularly with regard to new and emerging drugs. </w:t>
      </w:r>
    </w:p>
    <w:p w14:paraId="4A22E60E" w14:textId="77777777" w:rsidR="00C95C73" w:rsidRPr="00843E41" w:rsidRDefault="00C95C73">
      <w:pPr>
        <w:rPr>
          <w:rFonts w:ascii="Arial" w:hAnsi="Arial" w:cs="Arial"/>
          <w:lang w:val="en-US"/>
        </w:rPr>
      </w:pPr>
      <w:r w:rsidRPr="00843E41">
        <w:rPr>
          <w:rFonts w:ascii="Arial" w:hAnsi="Arial" w:cs="Arial"/>
          <w:lang w:val="en-US"/>
        </w:rPr>
        <w:t>We are aware of synthetic opioids such a</w:t>
      </w:r>
      <w:r w:rsidR="00DF49CF" w:rsidRPr="00843E41">
        <w:rPr>
          <w:rFonts w:ascii="Arial" w:hAnsi="Arial" w:cs="Arial"/>
          <w:lang w:val="en-US"/>
        </w:rPr>
        <w:t>s</w:t>
      </w:r>
      <w:r w:rsidRPr="00843E41">
        <w:rPr>
          <w:rFonts w:ascii="Arial" w:hAnsi="Arial" w:cs="Arial"/>
          <w:lang w:val="en-US"/>
        </w:rPr>
        <w:t xml:space="preserve"> </w:t>
      </w:r>
      <w:proofErr w:type="spellStart"/>
      <w:r w:rsidRPr="00843E41">
        <w:rPr>
          <w:rFonts w:ascii="Arial" w:hAnsi="Arial" w:cs="Arial"/>
          <w:lang w:val="en-US"/>
        </w:rPr>
        <w:t>nitazenes</w:t>
      </w:r>
      <w:proofErr w:type="spellEnd"/>
      <w:r w:rsidRPr="00843E41">
        <w:rPr>
          <w:rFonts w:ascii="Arial" w:hAnsi="Arial" w:cs="Arial"/>
          <w:lang w:val="en-US"/>
        </w:rPr>
        <w:t xml:space="preserve"> </w:t>
      </w:r>
      <w:r w:rsidR="00DF49CF" w:rsidRPr="00843E41">
        <w:rPr>
          <w:rFonts w:ascii="Arial" w:hAnsi="Arial" w:cs="Arial"/>
          <w:lang w:val="en-US"/>
        </w:rPr>
        <w:t>being found in</w:t>
      </w:r>
      <w:r w:rsidRPr="00843E41">
        <w:rPr>
          <w:rFonts w:ascii="Arial" w:hAnsi="Arial" w:cs="Arial"/>
          <w:lang w:val="en-US"/>
        </w:rPr>
        <w:t xml:space="preserve"> illicit drugs including heroin, cocaine</w:t>
      </w:r>
      <w:r w:rsidR="00DF49CF" w:rsidRPr="00843E41">
        <w:rPr>
          <w:rFonts w:ascii="Arial" w:hAnsi="Arial" w:cs="Arial"/>
          <w:lang w:val="en-US"/>
        </w:rPr>
        <w:t>,</w:t>
      </w:r>
      <w:r w:rsidRPr="00843E41">
        <w:rPr>
          <w:rFonts w:ascii="Arial" w:hAnsi="Arial" w:cs="Arial"/>
          <w:lang w:val="en-US"/>
        </w:rPr>
        <w:t xml:space="preserve"> benzodiazepines</w:t>
      </w:r>
      <w:r w:rsidR="00DF49CF" w:rsidRPr="00843E41">
        <w:rPr>
          <w:rFonts w:ascii="Arial" w:hAnsi="Arial" w:cs="Arial"/>
          <w:lang w:val="en-US"/>
        </w:rPr>
        <w:t xml:space="preserve"> and illicit oxycodone</w:t>
      </w:r>
      <w:r w:rsidRPr="00843E41">
        <w:rPr>
          <w:rFonts w:ascii="Arial" w:hAnsi="Arial" w:cs="Arial"/>
          <w:lang w:val="en-US"/>
        </w:rPr>
        <w:t xml:space="preserve">. </w:t>
      </w:r>
      <w:proofErr w:type="spellStart"/>
      <w:r w:rsidRPr="00843E41">
        <w:rPr>
          <w:rFonts w:ascii="Arial" w:hAnsi="Arial" w:cs="Arial"/>
          <w:lang w:val="en-US"/>
        </w:rPr>
        <w:t>Nitazenes</w:t>
      </w:r>
      <w:proofErr w:type="spellEnd"/>
      <w:r w:rsidRPr="00843E41">
        <w:rPr>
          <w:rFonts w:ascii="Arial" w:hAnsi="Arial" w:cs="Arial"/>
          <w:lang w:val="en-US"/>
        </w:rPr>
        <w:t xml:space="preserve"> are </w:t>
      </w:r>
      <w:r w:rsidR="000A2696" w:rsidRPr="00843E41">
        <w:rPr>
          <w:rFonts w:ascii="Arial" w:hAnsi="Arial" w:cs="Arial"/>
          <w:lang w:val="en-US"/>
        </w:rPr>
        <w:t>highly</w:t>
      </w:r>
      <w:r w:rsidR="006B4D51" w:rsidRPr="00843E41">
        <w:rPr>
          <w:rFonts w:ascii="Arial" w:hAnsi="Arial" w:cs="Arial"/>
          <w:lang w:val="en-US"/>
        </w:rPr>
        <w:t xml:space="preserve"> potent drugs </w:t>
      </w:r>
      <w:r w:rsidR="00E943CB" w:rsidRPr="00843E41">
        <w:rPr>
          <w:rFonts w:ascii="Arial" w:hAnsi="Arial" w:cs="Arial"/>
          <w:lang w:val="en-US"/>
        </w:rPr>
        <w:t>and hence pose a significant public health threat.</w:t>
      </w:r>
      <w:r w:rsidR="006B4D51" w:rsidRPr="00843E41">
        <w:rPr>
          <w:rFonts w:ascii="Arial" w:hAnsi="Arial" w:cs="Arial"/>
          <w:lang w:val="en-US"/>
        </w:rPr>
        <w:t xml:space="preserve"> The table below shows some approximate relative potencies in comparison to heroin but this a complex </w:t>
      </w:r>
      <w:proofErr w:type="gramStart"/>
      <w:r w:rsidR="006B4D51" w:rsidRPr="00843E41">
        <w:rPr>
          <w:rFonts w:ascii="Arial" w:hAnsi="Arial" w:cs="Arial"/>
          <w:lang w:val="en-US"/>
        </w:rPr>
        <w:t>area</w:t>
      </w:r>
      <w:proofErr w:type="gramEnd"/>
      <w:r w:rsidR="006B4D51" w:rsidRPr="00843E41">
        <w:rPr>
          <w:rFonts w:ascii="Arial" w:hAnsi="Arial" w:cs="Arial"/>
          <w:lang w:val="en-US"/>
        </w:rPr>
        <w:t xml:space="preserve"> so this is only indicative of the increased risk.</w:t>
      </w:r>
    </w:p>
    <w:p w14:paraId="4A22E60F" w14:textId="77777777" w:rsidR="000A2696" w:rsidRPr="00843E41" w:rsidRDefault="000A2696">
      <w:pPr>
        <w:rPr>
          <w:rFonts w:ascii="Arial" w:hAnsi="Arial" w:cs="Arial"/>
          <w:lang w:val="en-US"/>
        </w:rPr>
      </w:pPr>
      <w:r w:rsidRPr="00843E41">
        <w:rPr>
          <w:rFonts w:ascii="Arial" w:hAnsi="Arial" w:cs="Arial"/>
          <w:lang w:val="en-US"/>
        </w:rPr>
        <w:t xml:space="preserve">Table 1. </w:t>
      </w:r>
      <w:r w:rsidR="006B4D51" w:rsidRPr="00843E41">
        <w:rPr>
          <w:rFonts w:ascii="Arial" w:hAnsi="Arial" w:cs="Arial"/>
          <w:lang w:val="en-US"/>
        </w:rPr>
        <w:t xml:space="preserve">Approximate </w:t>
      </w:r>
      <w:proofErr w:type="spellStart"/>
      <w:r w:rsidR="006B4D51" w:rsidRPr="00843E41">
        <w:rPr>
          <w:rFonts w:ascii="Arial" w:hAnsi="Arial" w:cs="Arial"/>
          <w:lang w:val="en-US"/>
        </w:rPr>
        <w:t>n</w:t>
      </w:r>
      <w:r w:rsidRPr="00843E41">
        <w:rPr>
          <w:rFonts w:ascii="Arial" w:hAnsi="Arial" w:cs="Arial"/>
          <w:lang w:val="en-US"/>
        </w:rPr>
        <w:t>itazene</w:t>
      </w:r>
      <w:proofErr w:type="spellEnd"/>
      <w:r w:rsidRPr="00843E41">
        <w:rPr>
          <w:rFonts w:ascii="Arial" w:hAnsi="Arial" w:cs="Arial"/>
          <w:lang w:val="en-US"/>
        </w:rPr>
        <w:t xml:space="preserve"> potency in comparison to heroin</w:t>
      </w:r>
    </w:p>
    <w:tbl>
      <w:tblPr>
        <w:tblStyle w:val="TableGrid"/>
        <w:tblW w:w="0" w:type="auto"/>
        <w:tblLook w:val="04A0" w:firstRow="1" w:lastRow="0" w:firstColumn="1" w:lastColumn="0" w:noHBand="0" w:noVBand="1"/>
      </w:tblPr>
      <w:tblGrid>
        <w:gridCol w:w="2093"/>
        <w:gridCol w:w="1276"/>
      </w:tblGrid>
      <w:tr w:rsidR="000A2696" w:rsidRPr="00843E41" w14:paraId="4A22E612" w14:textId="77777777" w:rsidTr="000A2696">
        <w:tc>
          <w:tcPr>
            <w:tcW w:w="2093" w:type="dxa"/>
          </w:tcPr>
          <w:p w14:paraId="4A22E610" w14:textId="77777777" w:rsidR="000A2696" w:rsidRPr="00843E41" w:rsidRDefault="000A2696">
            <w:pPr>
              <w:rPr>
                <w:rFonts w:ascii="Arial" w:hAnsi="Arial" w:cs="Arial"/>
                <w:lang w:val="en-US"/>
              </w:rPr>
            </w:pPr>
            <w:r w:rsidRPr="00843E41">
              <w:rPr>
                <w:rFonts w:ascii="Arial" w:hAnsi="Arial" w:cs="Arial"/>
                <w:lang w:val="en-US"/>
              </w:rPr>
              <w:t>Heroin</w:t>
            </w:r>
          </w:p>
        </w:tc>
        <w:tc>
          <w:tcPr>
            <w:tcW w:w="1276" w:type="dxa"/>
          </w:tcPr>
          <w:p w14:paraId="4A22E611" w14:textId="77777777" w:rsidR="000A2696" w:rsidRPr="00843E41" w:rsidRDefault="000A2696">
            <w:pPr>
              <w:rPr>
                <w:rFonts w:ascii="Arial" w:hAnsi="Arial" w:cs="Arial"/>
                <w:lang w:val="en-US"/>
              </w:rPr>
            </w:pPr>
            <w:r w:rsidRPr="00843E41">
              <w:rPr>
                <w:rFonts w:ascii="Arial" w:hAnsi="Arial" w:cs="Arial"/>
                <w:lang w:val="en-US"/>
              </w:rPr>
              <w:t>1</w:t>
            </w:r>
          </w:p>
        </w:tc>
      </w:tr>
      <w:tr w:rsidR="000A2696" w:rsidRPr="00843E41" w14:paraId="4A22E615" w14:textId="77777777" w:rsidTr="000A2696">
        <w:tc>
          <w:tcPr>
            <w:tcW w:w="2093" w:type="dxa"/>
          </w:tcPr>
          <w:p w14:paraId="4A22E613" w14:textId="77777777" w:rsidR="000A2696" w:rsidRPr="00843E41" w:rsidRDefault="000A2696">
            <w:pPr>
              <w:rPr>
                <w:rFonts w:ascii="Arial" w:hAnsi="Arial" w:cs="Arial"/>
                <w:lang w:val="en-US"/>
              </w:rPr>
            </w:pPr>
            <w:r w:rsidRPr="00843E41">
              <w:rPr>
                <w:rFonts w:ascii="Arial" w:hAnsi="Arial" w:cs="Arial"/>
                <w:lang w:val="en-US"/>
              </w:rPr>
              <w:t>Fentanyl</w:t>
            </w:r>
          </w:p>
        </w:tc>
        <w:tc>
          <w:tcPr>
            <w:tcW w:w="1276" w:type="dxa"/>
          </w:tcPr>
          <w:p w14:paraId="4A22E614" w14:textId="77777777" w:rsidR="000A2696" w:rsidRPr="00843E41" w:rsidRDefault="000A2696">
            <w:pPr>
              <w:rPr>
                <w:rFonts w:ascii="Arial" w:hAnsi="Arial" w:cs="Arial"/>
                <w:lang w:val="en-US"/>
              </w:rPr>
            </w:pPr>
            <w:r w:rsidRPr="00843E41">
              <w:rPr>
                <w:rFonts w:ascii="Arial" w:hAnsi="Arial" w:cs="Arial"/>
                <w:lang w:val="en-US"/>
              </w:rPr>
              <w:t>50</w:t>
            </w:r>
          </w:p>
        </w:tc>
      </w:tr>
      <w:tr w:rsidR="000A2696" w:rsidRPr="00843E41" w14:paraId="4A22E618" w14:textId="77777777" w:rsidTr="000A2696">
        <w:tc>
          <w:tcPr>
            <w:tcW w:w="2093" w:type="dxa"/>
          </w:tcPr>
          <w:p w14:paraId="4A22E616" w14:textId="77777777" w:rsidR="000A2696" w:rsidRPr="00843E41" w:rsidRDefault="000A2696">
            <w:pPr>
              <w:rPr>
                <w:rFonts w:ascii="Arial" w:hAnsi="Arial" w:cs="Arial"/>
                <w:lang w:val="en-US"/>
              </w:rPr>
            </w:pPr>
            <w:proofErr w:type="spellStart"/>
            <w:r w:rsidRPr="00843E41">
              <w:rPr>
                <w:rFonts w:ascii="Arial" w:hAnsi="Arial" w:cs="Arial"/>
                <w:lang w:val="en-US"/>
              </w:rPr>
              <w:t>Metonitazene</w:t>
            </w:r>
            <w:proofErr w:type="spellEnd"/>
          </w:p>
        </w:tc>
        <w:tc>
          <w:tcPr>
            <w:tcW w:w="1276" w:type="dxa"/>
          </w:tcPr>
          <w:p w14:paraId="4A22E617" w14:textId="77777777" w:rsidR="000A2696" w:rsidRPr="00843E41" w:rsidRDefault="000A2696">
            <w:pPr>
              <w:rPr>
                <w:rFonts w:ascii="Arial" w:hAnsi="Arial" w:cs="Arial"/>
                <w:lang w:val="en-US"/>
              </w:rPr>
            </w:pPr>
            <w:r w:rsidRPr="00843E41">
              <w:rPr>
                <w:rFonts w:ascii="Arial" w:hAnsi="Arial" w:cs="Arial"/>
                <w:lang w:val="en-US"/>
              </w:rPr>
              <w:t>50</w:t>
            </w:r>
          </w:p>
        </w:tc>
      </w:tr>
      <w:tr w:rsidR="000A2696" w:rsidRPr="00843E41" w14:paraId="4A22E61B" w14:textId="77777777" w:rsidTr="000A2696">
        <w:tc>
          <w:tcPr>
            <w:tcW w:w="2093" w:type="dxa"/>
          </w:tcPr>
          <w:p w14:paraId="4A22E619" w14:textId="77777777" w:rsidR="000A2696" w:rsidRPr="00843E41" w:rsidRDefault="000A2696">
            <w:pPr>
              <w:rPr>
                <w:rFonts w:ascii="Arial" w:hAnsi="Arial" w:cs="Arial"/>
                <w:lang w:val="en-US"/>
              </w:rPr>
            </w:pPr>
            <w:proofErr w:type="spellStart"/>
            <w:r w:rsidRPr="00843E41">
              <w:rPr>
                <w:rFonts w:ascii="Arial" w:hAnsi="Arial" w:cs="Arial"/>
                <w:lang w:val="en-US"/>
              </w:rPr>
              <w:t>Protonitazene</w:t>
            </w:r>
            <w:proofErr w:type="spellEnd"/>
          </w:p>
        </w:tc>
        <w:tc>
          <w:tcPr>
            <w:tcW w:w="1276" w:type="dxa"/>
          </w:tcPr>
          <w:p w14:paraId="4A22E61A" w14:textId="77777777" w:rsidR="000A2696" w:rsidRPr="00843E41" w:rsidRDefault="000A2696">
            <w:pPr>
              <w:rPr>
                <w:rFonts w:ascii="Arial" w:hAnsi="Arial" w:cs="Arial"/>
                <w:lang w:val="en-US"/>
              </w:rPr>
            </w:pPr>
            <w:r w:rsidRPr="00843E41">
              <w:rPr>
                <w:rFonts w:ascii="Arial" w:hAnsi="Arial" w:cs="Arial"/>
                <w:lang w:val="en-US"/>
              </w:rPr>
              <w:t>100</w:t>
            </w:r>
          </w:p>
        </w:tc>
      </w:tr>
      <w:tr w:rsidR="000A2696" w:rsidRPr="00843E41" w14:paraId="4A22E61E" w14:textId="77777777" w:rsidTr="000A2696">
        <w:tc>
          <w:tcPr>
            <w:tcW w:w="2093" w:type="dxa"/>
          </w:tcPr>
          <w:p w14:paraId="4A22E61C" w14:textId="77777777" w:rsidR="000A2696" w:rsidRPr="00843E41" w:rsidRDefault="000A2696">
            <w:pPr>
              <w:rPr>
                <w:rFonts w:ascii="Arial" w:hAnsi="Arial" w:cs="Arial"/>
                <w:lang w:val="en-US"/>
              </w:rPr>
            </w:pPr>
            <w:proofErr w:type="spellStart"/>
            <w:r w:rsidRPr="00843E41">
              <w:rPr>
                <w:rFonts w:ascii="Arial" w:hAnsi="Arial" w:cs="Arial"/>
                <w:lang w:val="en-US"/>
              </w:rPr>
              <w:t>Isonitazene</w:t>
            </w:r>
            <w:proofErr w:type="spellEnd"/>
          </w:p>
        </w:tc>
        <w:tc>
          <w:tcPr>
            <w:tcW w:w="1276" w:type="dxa"/>
          </w:tcPr>
          <w:p w14:paraId="4A22E61D" w14:textId="77777777" w:rsidR="000A2696" w:rsidRPr="00843E41" w:rsidRDefault="000A2696">
            <w:pPr>
              <w:rPr>
                <w:rFonts w:ascii="Arial" w:hAnsi="Arial" w:cs="Arial"/>
                <w:lang w:val="en-US"/>
              </w:rPr>
            </w:pPr>
            <w:r w:rsidRPr="00843E41">
              <w:rPr>
                <w:rFonts w:ascii="Arial" w:hAnsi="Arial" w:cs="Arial"/>
                <w:lang w:val="en-US"/>
              </w:rPr>
              <w:t>250</w:t>
            </w:r>
          </w:p>
        </w:tc>
      </w:tr>
      <w:tr w:rsidR="000A2696" w:rsidRPr="00843E41" w14:paraId="4A22E621" w14:textId="77777777" w:rsidTr="000A2696">
        <w:tc>
          <w:tcPr>
            <w:tcW w:w="2093" w:type="dxa"/>
          </w:tcPr>
          <w:p w14:paraId="4A22E61F" w14:textId="77777777" w:rsidR="000A2696" w:rsidRPr="00843E41" w:rsidRDefault="000A2696">
            <w:pPr>
              <w:rPr>
                <w:rFonts w:ascii="Arial" w:hAnsi="Arial" w:cs="Arial"/>
                <w:lang w:val="en-US"/>
              </w:rPr>
            </w:pPr>
            <w:r w:rsidRPr="00843E41">
              <w:rPr>
                <w:rFonts w:ascii="Arial" w:hAnsi="Arial" w:cs="Arial"/>
                <w:lang w:val="en-US"/>
              </w:rPr>
              <w:t>Etonitazene</w:t>
            </w:r>
          </w:p>
        </w:tc>
        <w:tc>
          <w:tcPr>
            <w:tcW w:w="1276" w:type="dxa"/>
          </w:tcPr>
          <w:p w14:paraId="4A22E620" w14:textId="77777777" w:rsidR="000A2696" w:rsidRPr="00843E41" w:rsidRDefault="000A2696">
            <w:pPr>
              <w:rPr>
                <w:rFonts w:ascii="Arial" w:hAnsi="Arial" w:cs="Arial"/>
                <w:lang w:val="en-US"/>
              </w:rPr>
            </w:pPr>
            <w:r w:rsidRPr="00843E41">
              <w:rPr>
                <w:rFonts w:ascii="Arial" w:hAnsi="Arial" w:cs="Arial"/>
                <w:lang w:val="en-US"/>
              </w:rPr>
              <w:t>500</w:t>
            </w:r>
          </w:p>
        </w:tc>
      </w:tr>
    </w:tbl>
    <w:p w14:paraId="4A22E622" w14:textId="77777777" w:rsidR="000A2696" w:rsidRPr="00843E41" w:rsidRDefault="000A2696">
      <w:pPr>
        <w:rPr>
          <w:rFonts w:ascii="Arial" w:hAnsi="Arial" w:cs="Arial"/>
          <w:lang w:val="en-US"/>
        </w:rPr>
      </w:pPr>
    </w:p>
    <w:p w14:paraId="4A22E623" w14:textId="77777777" w:rsidR="00DF49CF" w:rsidRPr="00843E41" w:rsidRDefault="00DF49CF">
      <w:pPr>
        <w:rPr>
          <w:rFonts w:ascii="Arial" w:hAnsi="Arial" w:cs="Arial"/>
          <w:b/>
          <w:lang w:val="en-US"/>
        </w:rPr>
      </w:pPr>
      <w:proofErr w:type="spellStart"/>
      <w:r w:rsidRPr="00843E41">
        <w:rPr>
          <w:rFonts w:ascii="Arial" w:hAnsi="Arial" w:cs="Arial"/>
          <w:b/>
          <w:lang w:val="en-US"/>
        </w:rPr>
        <w:t>Nitazenes</w:t>
      </w:r>
      <w:proofErr w:type="spellEnd"/>
      <w:r w:rsidRPr="00843E41">
        <w:rPr>
          <w:rFonts w:ascii="Arial" w:hAnsi="Arial" w:cs="Arial"/>
          <w:b/>
          <w:lang w:val="en-US"/>
        </w:rPr>
        <w:t xml:space="preserve"> are unstable in blood</w:t>
      </w:r>
    </w:p>
    <w:p w14:paraId="4A22E624" w14:textId="77777777" w:rsidR="000A2696" w:rsidRPr="00843E41" w:rsidRDefault="000A2696">
      <w:pPr>
        <w:rPr>
          <w:rFonts w:ascii="Arial" w:hAnsi="Arial" w:cs="Arial"/>
          <w:lang w:val="en-US"/>
        </w:rPr>
      </w:pPr>
      <w:r w:rsidRPr="00843E41">
        <w:rPr>
          <w:rFonts w:ascii="Arial" w:hAnsi="Arial" w:cs="Arial"/>
          <w:lang w:val="en-US"/>
        </w:rPr>
        <w:t xml:space="preserve">The detection of </w:t>
      </w:r>
      <w:proofErr w:type="spellStart"/>
      <w:r w:rsidRPr="00843E41">
        <w:rPr>
          <w:rFonts w:ascii="Arial" w:hAnsi="Arial" w:cs="Arial"/>
          <w:lang w:val="en-US"/>
        </w:rPr>
        <w:t>nitazenes</w:t>
      </w:r>
      <w:proofErr w:type="spellEnd"/>
      <w:r w:rsidRPr="00843E41">
        <w:rPr>
          <w:rFonts w:ascii="Arial" w:hAnsi="Arial" w:cs="Arial"/>
          <w:lang w:val="en-US"/>
        </w:rPr>
        <w:t xml:space="preserve"> is difficult in post mortem blood and it is well </w:t>
      </w:r>
      <w:proofErr w:type="spellStart"/>
      <w:r w:rsidRPr="00843E41">
        <w:rPr>
          <w:rFonts w:ascii="Arial" w:hAnsi="Arial" w:cs="Arial"/>
          <w:lang w:val="en-US"/>
        </w:rPr>
        <w:t>recognised</w:t>
      </w:r>
      <w:proofErr w:type="spellEnd"/>
      <w:r w:rsidRPr="00843E41">
        <w:rPr>
          <w:rFonts w:ascii="Arial" w:hAnsi="Arial" w:cs="Arial"/>
          <w:lang w:val="en-US"/>
        </w:rPr>
        <w:t xml:space="preserve"> that </w:t>
      </w:r>
      <w:proofErr w:type="spellStart"/>
      <w:r w:rsidRPr="00843E41">
        <w:rPr>
          <w:rFonts w:ascii="Arial" w:hAnsi="Arial" w:cs="Arial"/>
          <w:lang w:val="en-US"/>
        </w:rPr>
        <w:t>nitazenes</w:t>
      </w:r>
      <w:proofErr w:type="spellEnd"/>
      <w:r w:rsidRPr="00843E41">
        <w:rPr>
          <w:rFonts w:ascii="Arial" w:hAnsi="Arial" w:cs="Arial"/>
          <w:lang w:val="en-US"/>
        </w:rPr>
        <w:t xml:space="preserve"> are unstable in blood. This may mean that these drugs are not being detected</w:t>
      </w:r>
      <w:r w:rsidR="00E943CB" w:rsidRPr="00843E41">
        <w:rPr>
          <w:rFonts w:ascii="Arial" w:hAnsi="Arial" w:cs="Arial"/>
          <w:lang w:val="en-US"/>
        </w:rPr>
        <w:t xml:space="preserve"> in routine testing</w:t>
      </w:r>
      <w:r w:rsidRPr="00843E41">
        <w:rPr>
          <w:rFonts w:ascii="Arial" w:hAnsi="Arial" w:cs="Arial"/>
          <w:lang w:val="en-US"/>
        </w:rPr>
        <w:t xml:space="preserve">. </w:t>
      </w:r>
    </w:p>
    <w:p w14:paraId="4A22E625" w14:textId="77777777" w:rsidR="000A2696" w:rsidRPr="00843E41" w:rsidRDefault="000A2696">
      <w:pPr>
        <w:rPr>
          <w:rFonts w:ascii="Arial" w:hAnsi="Arial" w:cs="Arial"/>
          <w:lang w:val="en-US"/>
        </w:rPr>
      </w:pPr>
      <w:r w:rsidRPr="00843E41">
        <w:rPr>
          <w:rFonts w:ascii="Arial" w:hAnsi="Arial" w:cs="Arial"/>
          <w:lang w:val="en-US"/>
        </w:rPr>
        <w:t>It is recommended that pathologists liaise with their toxicology laboratory to ensure the right testing is being carried out in any death suspected to be related to illicit drug use, and that the samples provided to the laboratory are appropriate</w:t>
      </w:r>
      <w:r w:rsidR="00E943CB" w:rsidRPr="00843E41">
        <w:rPr>
          <w:rFonts w:ascii="Arial" w:hAnsi="Arial" w:cs="Arial"/>
          <w:lang w:val="en-US"/>
        </w:rPr>
        <w:t xml:space="preserve"> and timely</w:t>
      </w:r>
      <w:r w:rsidRPr="00843E41">
        <w:rPr>
          <w:rFonts w:ascii="Arial" w:hAnsi="Arial" w:cs="Arial"/>
          <w:lang w:val="en-US"/>
        </w:rPr>
        <w:t>.</w:t>
      </w:r>
    </w:p>
    <w:p w14:paraId="4A22E626" w14:textId="77777777" w:rsidR="000A2696" w:rsidRPr="00843E41" w:rsidRDefault="000A2696">
      <w:pPr>
        <w:rPr>
          <w:rFonts w:ascii="Arial" w:hAnsi="Arial" w:cs="Arial"/>
          <w:lang w:val="en-US"/>
        </w:rPr>
      </w:pPr>
      <w:r w:rsidRPr="00843E41">
        <w:rPr>
          <w:rFonts w:ascii="Arial" w:hAnsi="Arial" w:cs="Arial"/>
          <w:lang w:val="en-US"/>
        </w:rPr>
        <w:t xml:space="preserve">We would recommend the use of preserved blood </w:t>
      </w:r>
      <w:r w:rsidR="00E943CB" w:rsidRPr="00843E41">
        <w:rPr>
          <w:rFonts w:ascii="Arial" w:hAnsi="Arial" w:cs="Arial"/>
          <w:lang w:val="en-US"/>
        </w:rPr>
        <w:t>wherever</w:t>
      </w:r>
      <w:r w:rsidRPr="00843E41">
        <w:rPr>
          <w:rFonts w:ascii="Arial" w:hAnsi="Arial" w:cs="Arial"/>
          <w:lang w:val="en-US"/>
        </w:rPr>
        <w:t xml:space="preserve"> possible. A sample of preserved blood should always be sent for toxicology testing. However, with the aim of detecting </w:t>
      </w:r>
      <w:proofErr w:type="spellStart"/>
      <w:r w:rsidRPr="00843E41">
        <w:rPr>
          <w:rFonts w:ascii="Arial" w:hAnsi="Arial" w:cs="Arial"/>
          <w:lang w:val="en-US"/>
        </w:rPr>
        <w:t>nit</w:t>
      </w:r>
      <w:r w:rsidR="00E943CB" w:rsidRPr="00843E41">
        <w:rPr>
          <w:rFonts w:ascii="Arial" w:hAnsi="Arial" w:cs="Arial"/>
          <w:lang w:val="en-US"/>
        </w:rPr>
        <w:t>a</w:t>
      </w:r>
      <w:r w:rsidRPr="00843E41">
        <w:rPr>
          <w:rFonts w:ascii="Arial" w:hAnsi="Arial" w:cs="Arial"/>
          <w:lang w:val="en-US"/>
        </w:rPr>
        <w:t>zenes</w:t>
      </w:r>
      <w:proofErr w:type="spellEnd"/>
      <w:r w:rsidRPr="00843E41">
        <w:rPr>
          <w:rFonts w:ascii="Arial" w:hAnsi="Arial" w:cs="Arial"/>
          <w:lang w:val="en-US"/>
        </w:rPr>
        <w:t xml:space="preserve"> more accurately, we recommend sending a larger volume of preserved blood (using two or more bottles, or bottles of larger capacity)</w:t>
      </w:r>
      <w:r w:rsidR="00E943CB" w:rsidRPr="00843E41">
        <w:rPr>
          <w:rFonts w:ascii="Arial" w:hAnsi="Arial" w:cs="Arial"/>
          <w:lang w:val="en-US"/>
        </w:rPr>
        <w:t xml:space="preserve"> if available</w:t>
      </w:r>
      <w:r w:rsidRPr="00843E41">
        <w:rPr>
          <w:rFonts w:ascii="Arial" w:hAnsi="Arial" w:cs="Arial"/>
          <w:lang w:val="en-US"/>
        </w:rPr>
        <w:t xml:space="preserve">. In addition, preserved urine is also recommended whenever it is available. </w:t>
      </w:r>
      <w:proofErr w:type="spellStart"/>
      <w:r w:rsidRPr="00843E41">
        <w:rPr>
          <w:rFonts w:ascii="Arial" w:hAnsi="Arial" w:cs="Arial"/>
          <w:lang w:val="en-US"/>
        </w:rPr>
        <w:t>Nitazenes</w:t>
      </w:r>
      <w:proofErr w:type="spellEnd"/>
      <w:r w:rsidRPr="00843E41">
        <w:rPr>
          <w:rFonts w:ascii="Arial" w:hAnsi="Arial" w:cs="Arial"/>
          <w:lang w:val="en-US"/>
        </w:rPr>
        <w:t xml:space="preserve"> may be detectable in the urine, and 6-MAM detection in urine can be helpful in heroin related deaths. </w:t>
      </w:r>
    </w:p>
    <w:p w14:paraId="4A22E627" w14:textId="77777777" w:rsidR="00AF5848" w:rsidRPr="00843E41" w:rsidRDefault="00AF5848">
      <w:pPr>
        <w:rPr>
          <w:rFonts w:ascii="Arial" w:hAnsi="Arial" w:cs="Arial"/>
          <w:lang w:val="en-US"/>
        </w:rPr>
      </w:pPr>
      <w:r w:rsidRPr="00843E41">
        <w:rPr>
          <w:rFonts w:ascii="Arial" w:hAnsi="Arial" w:cs="Arial"/>
          <w:noProof/>
          <w:lang w:eastAsia="en-GB"/>
        </w:rPr>
        <w:lastRenderedPageBreak/>
        <w:drawing>
          <wp:inline distT="0" distB="0" distL="0" distR="0" wp14:anchorId="4A22E635" wp14:editId="4A22E636">
            <wp:extent cx="1800225" cy="218875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x bottl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074" cy="2188567"/>
                    </a:xfrm>
                    <a:prstGeom prst="rect">
                      <a:avLst/>
                    </a:prstGeom>
                  </pic:spPr>
                </pic:pic>
              </a:graphicData>
            </a:graphic>
          </wp:inline>
        </w:drawing>
      </w:r>
      <w:r w:rsidRPr="00843E41">
        <w:rPr>
          <w:rFonts w:ascii="Arial" w:hAnsi="Arial" w:cs="Arial"/>
          <w:lang w:val="en-US"/>
        </w:rPr>
        <w:t xml:space="preserve"> 5ml and 10ml preserved blood, 5ml preserved urine</w:t>
      </w:r>
    </w:p>
    <w:p w14:paraId="50CFB4C3" w14:textId="77777777" w:rsidR="000609DA" w:rsidRDefault="000609DA">
      <w:pPr>
        <w:rPr>
          <w:rFonts w:ascii="Arial" w:hAnsi="Arial" w:cs="Arial"/>
          <w:lang w:val="en-US"/>
        </w:rPr>
      </w:pPr>
    </w:p>
    <w:p w14:paraId="4A22E628" w14:textId="06A05B00" w:rsidR="00E943CB" w:rsidRPr="00843E41" w:rsidRDefault="00E943CB">
      <w:pPr>
        <w:rPr>
          <w:rFonts w:ascii="Arial" w:hAnsi="Arial" w:cs="Arial"/>
          <w:lang w:val="en-US"/>
        </w:rPr>
      </w:pPr>
      <w:r w:rsidRPr="00843E41">
        <w:rPr>
          <w:rFonts w:ascii="Arial" w:hAnsi="Arial" w:cs="Arial"/>
          <w:lang w:val="en-US"/>
        </w:rPr>
        <w:t>Consideration should be given to taking blood and urine samples as early as possible after the death, (following the Coroner’s/Procurator Fiscal’s instruction) to reduce degradation.</w:t>
      </w:r>
    </w:p>
    <w:p w14:paraId="4A22E629" w14:textId="77777777" w:rsidR="00D91086" w:rsidRPr="00843E41" w:rsidRDefault="00D91086" w:rsidP="00D91086">
      <w:pPr>
        <w:rPr>
          <w:rFonts w:ascii="Arial" w:hAnsi="Arial" w:cs="Arial"/>
          <w:b/>
          <w:lang w:val="en-US"/>
        </w:rPr>
      </w:pPr>
      <w:proofErr w:type="spellStart"/>
      <w:r w:rsidRPr="00843E41">
        <w:rPr>
          <w:rFonts w:ascii="Arial" w:hAnsi="Arial" w:cs="Arial"/>
          <w:b/>
          <w:lang w:val="en-US"/>
        </w:rPr>
        <w:t>Nitazenes</w:t>
      </w:r>
      <w:proofErr w:type="spellEnd"/>
      <w:r w:rsidRPr="00843E41">
        <w:rPr>
          <w:rFonts w:ascii="Arial" w:hAnsi="Arial" w:cs="Arial"/>
          <w:b/>
          <w:lang w:val="en-US"/>
        </w:rPr>
        <w:t xml:space="preserve"> may also be linked to deaths among people who do not use heroin </w:t>
      </w:r>
    </w:p>
    <w:p w14:paraId="4A22E62A" w14:textId="77777777" w:rsidR="00D91086" w:rsidRPr="00843E41" w:rsidRDefault="00D91086" w:rsidP="00D91086">
      <w:pPr>
        <w:rPr>
          <w:rFonts w:ascii="Arial" w:hAnsi="Arial" w:cs="Arial"/>
          <w:lang w:val="en-US"/>
        </w:rPr>
      </w:pPr>
      <w:r w:rsidRPr="00843E41">
        <w:rPr>
          <w:rFonts w:ascii="Arial" w:hAnsi="Arial" w:cs="Arial"/>
          <w:lang w:val="en-US"/>
        </w:rPr>
        <w:t xml:space="preserve">In many cases where </w:t>
      </w:r>
      <w:proofErr w:type="spellStart"/>
      <w:r w:rsidRPr="00843E41">
        <w:rPr>
          <w:rFonts w:ascii="Arial" w:hAnsi="Arial" w:cs="Arial"/>
          <w:lang w:val="en-US"/>
        </w:rPr>
        <w:t>nitazenes</w:t>
      </w:r>
      <w:proofErr w:type="spellEnd"/>
      <w:r w:rsidRPr="00843E41">
        <w:rPr>
          <w:rFonts w:ascii="Arial" w:hAnsi="Arial" w:cs="Arial"/>
          <w:lang w:val="en-US"/>
        </w:rPr>
        <w:t xml:space="preserve"> have been detected in post mortem samples there is either also toxicology evidence of heroin use or a known history of heroin use. It is not uncommon to see deaths occurring very rapidly after injecting, with the needle still in the injection site or in the hand.</w:t>
      </w:r>
    </w:p>
    <w:p w14:paraId="4A22E62B" w14:textId="77777777" w:rsidR="00D91086" w:rsidRPr="00843E41" w:rsidRDefault="00D91086" w:rsidP="00D91086">
      <w:pPr>
        <w:rPr>
          <w:rFonts w:ascii="Arial" w:hAnsi="Arial" w:cs="Arial"/>
          <w:lang w:val="en-US"/>
        </w:rPr>
      </w:pPr>
      <w:r w:rsidRPr="00843E41">
        <w:rPr>
          <w:rFonts w:ascii="Arial" w:hAnsi="Arial" w:cs="Arial"/>
          <w:lang w:val="en-US"/>
        </w:rPr>
        <w:t xml:space="preserve">However, in a substantial minority of cases there is no evidence that the deceased had ever used heroin. In many such cases, the deceased may have died after taking what they believed was cocaine, oxycodone or a benzodiazepine, in a recreational or medicinal use context. We recommend testing for </w:t>
      </w:r>
      <w:proofErr w:type="spellStart"/>
      <w:r w:rsidRPr="00843E41">
        <w:rPr>
          <w:rFonts w:ascii="Arial" w:hAnsi="Arial" w:cs="Arial"/>
          <w:lang w:val="en-US"/>
        </w:rPr>
        <w:t>nitazenes</w:t>
      </w:r>
      <w:proofErr w:type="spellEnd"/>
      <w:r w:rsidRPr="00843E41">
        <w:rPr>
          <w:rFonts w:ascii="Arial" w:hAnsi="Arial" w:cs="Arial"/>
          <w:lang w:val="en-US"/>
        </w:rPr>
        <w:t xml:space="preserve"> in all cases where there is no anatomical cause of death or where the deceased may have taken counterfeit pharmaceuticals or recreational drugs.         </w:t>
      </w:r>
    </w:p>
    <w:p w14:paraId="4A22E62C" w14:textId="77777777" w:rsidR="000A2696" w:rsidRPr="00843E41" w:rsidRDefault="00DF49CF">
      <w:pPr>
        <w:rPr>
          <w:rFonts w:ascii="Arial" w:hAnsi="Arial" w:cs="Arial"/>
          <w:b/>
          <w:lang w:val="en-US"/>
        </w:rPr>
      </w:pPr>
      <w:r w:rsidRPr="00843E41">
        <w:rPr>
          <w:rFonts w:ascii="Arial" w:hAnsi="Arial" w:cs="Arial"/>
          <w:b/>
          <w:lang w:val="en-US"/>
        </w:rPr>
        <w:t>Information to provide to the toxicology laboratory</w:t>
      </w:r>
    </w:p>
    <w:p w14:paraId="4A22E62D" w14:textId="77777777" w:rsidR="00DF49CF" w:rsidRPr="00843E41" w:rsidRDefault="00DF49CF">
      <w:pPr>
        <w:rPr>
          <w:rFonts w:ascii="Arial" w:hAnsi="Arial" w:cs="Arial"/>
          <w:lang w:val="en-US"/>
        </w:rPr>
      </w:pPr>
      <w:r w:rsidRPr="00843E41">
        <w:rPr>
          <w:rFonts w:ascii="Arial" w:hAnsi="Arial" w:cs="Arial"/>
          <w:lang w:val="en-US"/>
        </w:rPr>
        <w:t>It is good practice to send the toxicology laboratory relevant information about the death, circumstances, scene and medical/drug history. Ideally the information from the Coroner’s</w:t>
      </w:r>
      <w:r w:rsidR="00E943CB" w:rsidRPr="00843E41">
        <w:rPr>
          <w:rFonts w:ascii="Arial" w:hAnsi="Arial" w:cs="Arial"/>
          <w:lang w:val="en-US"/>
        </w:rPr>
        <w:t>/Procurator Fiscal’s</w:t>
      </w:r>
      <w:r w:rsidRPr="00843E41">
        <w:rPr>
          <w:rFonts w:ascii="Arial" w:hAnsi="Arial" w:cs="Arial"/>
          <w:lang w:val="en-US"/>
        </w:rPr>
        <w:t xml:space="preserve"> instruction should </w:t>
      </w:r>
      <w:r w:rsidR="00E943CB" w:rsidRPr="00843E41">
        <w:rPr>
          <w:rFonts w:ascii="Arial" w:hAnsi="Arial" w:cs="Arial"/>
          <w:lang w:val="en-US"/>
        </w:rPr>
        <w:t xml:space="preserve">also </w:t>
      </w:r>
      <w:r w:rsidRPr="00843E41">
        <w:rPr>
          <w:rFonts w:ascii="Arial" w:hAnsi="Arial" w:cs="Arial"/>
          <w:lang w:val="en-US"/>
        </w:rPr>
        <w:t xml:space="preserve">be sent. Additional information </w:t>
      </w:r>
      <w:r w:rsidR="00E943CB" w:rsidRPr="00843E41">
        <w:rPr>
          <w:rFonts w:ascii="Arial" w:hAnsi="Arial" w:cs="Arial"/>
          <w:lang w:val="en-US"/>
        </w:rPr>
        <w:t xml:space="preserve">that may inform testing strategies should be specifically highlighted and includes: </w:t>
      </w:r>
      <w:r w:rsidRPr="00843E41">
        <w:rPr>
          <w:rFonts w:ascii="Arial" w:hAnsi="Arial" w:cs="Arial"/>
          <w:lang w:val="en-US"/>
        </w:rPr>
        <w:t xml:space="preserve"> </w:t>
      </w:r>
    </w:p>
    <w:p w14:paraId="4A22E62E" w14:textId="77777777" w:rsidR="00DF49CF" w:rsidRPr="00843E41" w:rsidRDefault="00DF49CF" w:rsidP="00DF49CF">
      <w:pPr>
        <w:pStyle w:val="ListParagraph"/>
        <w:numPr>
          <w:ilvl w:val="0"/>
          <w:numId w:val="1"/>
        </w:numPr>
        <w:rPr>
          <w:rFonts w:ascii="Arial" w:hAnsi="Arial" w:cs="Arial"/>
          <w:lang w:val="en-US"/>
        </w:rPr>
      </w:pPr>
      <w:r w:rsidRPr="00843E41">
        <w:rPr>
          <w:rFonts w:ascii="Arial" w:hAnsi="Arial" w:cs="Arial"/>
          <w:lang w:val="en-US"/>
        </w:rPr>
        <w:t>If the deceased was homeless</w:t>
      </w:r>
    </w:p>
    <w:p w14:paraId="4A22E62F" w14:textId="77777777" w:rsidR="00DF49CF" w:rsidRPr="00843E41" w:rsidRDefault="00DF49CF" w:rsidP="00DF49CF">
      <w:pPr>
        <w:pStyle w:val="ListParagraph"/>
        <w:numPr>
          <w:ilvl w:val="0"/>
          <w:numId w:val="1"/>
        </w:numPr>
        <w:rPr>
          <w:rFonts w:ascii="Arial" w:hAnsi="Arial" w:cs="Arial"/>
          <w:lang w:val="en-US"/>
        </w:rPr>
      </w:pPr>
      <w:r w:rsidRPr="00843E41">
        <w:rPr>
          <w:rFonts w:ascii="Arial" w:hAnsi="Arial" w:cs="Arial"/>
          <w:lang w:val="en-US"/>
        </w:rPr>
        <w:t>If the deceased died in prison</w:t>
      </w:r>
      <w:r w:rsidR="00D91086" w:rsidRPr="00843E41">
        <w:rPr>
          <w:rFonts w:ascii="Arial" w:hAnsi="Arial" w:cs="Arial"/>
          <w:lang w:val="en-US"/>
        </w:rPr>
        <w:t xml:space="preserve"> (synthetic cannabinoids may also be implicated)</w:t>
      </w:r>
    </w:p>
    <w:p w14:paraId="4A22E630" w14:textId="77777777" w:rsidR="00DF49CF" w:rsidRPr="00843E41" w:rsidRDefault="00DF49CF" w:rsidP="00DF49CF">
      <w:pPr>
        <w:pStyle w:val="ListParagraph"/>
        <w:numPr>
          <w:ilvl w:val="0"/>
          <w:numId w:val="1"/>
        </w:numPr>
        <w:rPr>
          <w:rFonts w:ascii="Arial" w:hAnsi="Arial" w:cs="Arial"/>
          <w:lang w:val="en-US"/>
        </w:rPr>
      </w:pPr>
      <w:r w:rsidRPr="00843E41">
        <w:rPr>
          <w:rFonts w:ascii="Arial" w:hAnsi="Arial" w:cs="Arial"/>
          <w:lang w:val="en-US"/>
        </w:rPr>
        <w:t>If oxycodone-like tablets are present at the scene</w:t>
      </w:r>
    </w:p>
    <w:p w14:paraId="4A22E631" w14:textId="77777777" w:rsidR="000A2696" w:rsidRPr="00843E41" w:rsidRDefault="00DF49CF">
      <w:pPr>
        <w:rPr>
          <w:rFonts w:ascii="Arial" w:hAnsi="Arial" w:cs="Arial"/>
          <w:b/>
          <w:lang w:val="en-US"/>
        </w:rPr>
      </w:pPr>
      <w:r w:rsidRPr="00843E41">
        <w:rPr>
          <w:rFonts w:ascii="Arial" w:hAnsi="Arial" w:cs="Arial"/>
          <w:b/>
          <w:lang w:val="en-US"/>
        </w:rPr>
        <w:t xml:space="preserve">Interpretation </w:t>
      </w:r>
      <w:r w:rsidR="005572E5" w:rsidRPr="00843E41">
        <w:rPr>
          <w:rFonts w:ascii="Arial" w:hAnsi="Arial" w:cs="Arial"/>
          <w:b/>
          <w:lang w:val="en-US"/>
        </w:rPr>
        <w:t>and cause of death</w:t>
      </w:r>
    </w:p>
    <w:p w14:paraId="4A22E632" w14:textId="77777777" w:rsidR="005572E5" w:rsidRPr="00843E41" w:rsidRDefault="00DF49CF">
      <w:pPr>
        <w:rPr>
          <w:rFonts w:ascii="Arial" w:hAnsi="Arial" w:cs="Arial"/>
          <w:lang w:val="en-US"/>
        </w:rPr>
      </w:pPr>
      <w:r w:rsidRPr="00843E41">
        <w:rPr>
          <w:rFonts w:ascii="Arial" w:hAnsi="Arial" w:cs="Arial"/>
          <w:lang w:val="en-US"/>
        </w:rPr>
        <w:t xml:space="preserve">Interpretation of toxicology reports can be difficult with new and emerging drugs where there is little data on “normal” ranges. In the case of </w:t>
      </w:r>
      <w:proofErr w:type="spellStart"/>
      <w:r w:rsidRPr="00843E41">
        <w:rPr>
          <w:rFonts w:ascii="Arial" w:hAnsi="Arial" w:cs="Arial"/>
          <w:lang w:val="en-US"/>
        </w:rPr>
        <w:t>nitazenes</w:t>
      </w:r>
      <w:proofErr w:type="spellEnd"/>
      <w:r w:rsidRPr="00843E41">
        <w:rPr>
          <w:rFonts w:ascii="Arial" w:hAnsi="Arial" w:cs="Arial"/>
          <w:lang w:val="en-US"/>
        </w:rPr>
        <w:t xml:space="preserve">, the current UK experience shows these are forming part of a mixed drug toxicity cause of death (rather than one drug on its own). Given the potency of </w:t>
      </w:r>
      <w:proofErr w:type="spellStart"/>
      <w:r w:rsidRPr="00843E41">
        <w:rPr>
          <w:rFonts w:ascii="Arial" w:hAnsi="Arial" w:cs="Arial"/>
          <w:lang w:val="en-US"/>
        </w:rPr>
        <w:t>nitazenes</w:t>
      </w:r>
      <w:proofErr w:type="spellEnd"/>
      <w:r w:rsidRPr="00843E41">
        <w:rPr>
          <w:rFonts w:ascii="Arial" w:hAnsi="Arial" w:cs="Arial"/>
          <w:lang w:val="en-US"/>
        </w:rPr>
        <w:t xml:space="preserve"> and the degradation of the drugs in blood, it is entirely reasonable, if a </w:t>
      </w:r>
      <w:proofErr w:type="spellStart"/>
      <w:r w:rsidRPr="00843E41">
        <w:rPr>
          <w:rFonts w:ascii="Arial" w:hAnsi="Arial" w:cs="Arial"/>
          <w:lang w:val="en-US"/>
        </w:rPr>
        <w:t>nitazene</w:t>
      </w:r>
      <w:proofErr w:type="spellEnd"/>
      <w:r w:rsidRPr="00843E41">
        <w:rPr>
          <w:rFonts w:ascii="Arial" w:hAnsi="Arial" w:cs="Arial"/>
          <w:lang w:val="en-US"/>
        </w:rPr>
        <w:t xml:space="preserve"> has been detected in the blood or urine, to include this in the cause </w:t>
      </w:r>
      <w:r w:rsidRPr="00843E41">
        <w:rPr>
          <w:rFonts w:ascii="Arial" w:hAnsi="Arial" w:cs="Arial"/>
          <w:lang w:val="en-US"/>
        </w:rPr>
        <w:lastRenderedPageBreak/>
        <w:t xml:space="preserve">of death. </w:t>
      </w:r>
      <w:r w:rsidR="005572E5" w:rsidRPr="00843E41">
        <w:rPr>
          <w:rFonts w:ascii="Arial" w:hAnsi="Arial" w:cs="Arial"/>
          <w:lang w:val="en-US"/>
        </w:rPr>
        <w:t xml:space="preserve">The wording of the cause of death should specify the drugs implicated to ensure good national statistics on drug related deaths. For example: </w:t>
      </w:r>
    </w:p>
    <w:p w14:paraId="4A22E633" w14:textId="77777777" w:rsidR="00DF49CF" w:rsidRPr="00843E41" w:rsidRDefault="005572E5" w:rsidP="005572E5">
      <w:pPr>
        <w:ind w:firstLine="720"/>
        <w:rPr>
          <w:rFonts w:ascii="Arial" w:hAnsi="Arial" w:cs="Arial"/>
          <w:lang w:val="en-US"/>
        </w:rPr>
      </w:pPr>
      <w:r w:rsidRPr="00843E41">
        <w:rPr>
          <w:rFonts w:ascii="Arial" w:hAnsi="Arial" w:cs="Arial"/>
          <w:lang w:val="en-US"/>
        </w:rPr>
        <w:t xml:space="preserve">1a. Mixed drug toxicity – heroin, etonitazene, methadone and </w:t>
      </w:r>
      <w:proofErr w:type="spellStart"/>
      <w:r w:rsidRPr="00843E41">
        <w:rPr>
          <w:rFonts w:ascii="Arial" w:hAnsi="Arial" w:cs="Arial"/>
          <w:lang w:val="en-US"/>
        </w:rPr>
        <w:t>phenazepam</w:t>
      </w:r>
      <w:proofErr w:type="spellEnd"/>
    </w:p>
    <w:p w14:paraId="4A22E634" w14:textId="77777777" w:rsidR="000A2696" w:rsidRPr="00843E41" w:rsidRDefault="000A2696">
      <w:pPr>
        <w:rPr>
          <w:rFonts w:ascii="Arial" w:hAnsi="Arial" w:cs="Arial"/>
          <w:lang w:val="en-US"/>
        </w:rPr>
      </w:pPr>
    </w:p>
    <w:sectPr w:rsidR="000A2696" w:rsidRPr="00843E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5A5B"/>
    <w:multiLevelType w:val="hybridMultilevel"/>
    <w:tmpl w:val="295AC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9095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C73"/>
    <w:rsid w:val="000609DA"/>
    <w:rsid w:val="000A2696"/>
    <w:rsid w:val="005572E5"/>
    <w:rsid w:val="006B4D51"/>
    <w:rsid w:val="00843E41"/>
    <w:rsid w:val="00917A20"/>
    <w:rsid w:val="009F2114"/>
    <w:rsid w:val="00AF07D9"/>
    <w:rsid w:val="00AF5848"/>
    <w:rsid w:val="00C95C73"/>
    <w:rsid w:val="00D91086"/>
    <w:rsid w:val="00DF49CF"/>
    <w:rsid w:val="00E94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2E608"/>
  <w15:docId w15:val="{4B5AC7DF-AB6B-4542-8090-9BCAA2F0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E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2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9CF"/>
    <w:pPr>
      <w:ind w:left="720"/>
      <w:contextualSpacing/>
    </w:pPr>
  </w:style>
  <w:style w:type="character" w:styleId="Hyperlink">
    <w:name w:val="Hyperlink"/>
    <w:basedOn w:val="DefaultParagraphFont"/>
    <w:uiPriority w:val="99"/>
    <w:unhideWhenUsed/>
    <w:rsid w:val="00DF49CF"/>
    <w:rPr>
      <w:color w:val="0000FF" w:themeColor="hyperlink"/>
      <w:u w:val="single"/>
    </w:rPr>
  </w:style>
  <w:style w:type="paragraph" w:styleId="BalloonText">
    <w:name w:val="Balloon Text"/>
    <w:basedOn w:val="Normal"/>
    <w:link w:val="BalloonTextChar"/>
    <w:uiPriority w:val="99"/>
    <w:semiHidden/>
    <w:unhideWhenUsed/>
    <w:rsid w:val="00AF5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848"/>
    <w:rPr>
      <w:rFonts w:ascii="Tahoma" w:hAnsi="Tahoma" w:cs="Tahoma"/>
      <w:sz w:val="16"/>
      <w:szCs w:val="16"/>
    </w:rPr>
  </w:style>
  <w:style w:type="character" w:customStyle="1" w:styleId="Heading1Char">
    <w:name w:val="Heading 1 Char"/>
    <w:basedOn w:val="DefaultParagraphFont"/>
    <w:link w:val="Heading1"/>
    <w:uiPriority w:val="9"/>
    <w:rsid w:val="00843E4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cpath.org/resourceLibrary/g169-guidelines-on-autopsy-practice-autopsy-when-drugs-or-poisoning-may-be-involve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Youd</dc:creator>
  <cp:lastModifiedBy>Thadcha Retneswaran</cp:lastModifiedBy>
  <cp:revision>7</cp:revision>
  <dcterms:created xsi:type="dcterms:W3CDTF">2025-07-30T12:54:00Z</dcterms:created>
  <dcterms:modified xsi:type="dcterms:W3CDTF">2025-09-08T15:47:00Z</dcterms:modified>
</cp:coreProperties>
</file>